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A01A1">
      <w:pPr>
        <w:snapToGrid w:val="0"/>
        <w:spacing w:before="312" w:beforeLines="100" w:after="312" w:afterLines="100" w:line="360" w:lineRule="auto"/>
        <w:jc w:val="center"/>
        <w:rPr>
          <w:rFonts w:cs="Times New Roman" w:eastAsiaTheme="minorEastAsia"/>
          <w:b/>
          <w:bCs/>
          <w:sz w:val="42"/>
          <w:szCs w:val="42"/>
        </w:rPr>
      </w:pPr>
      <w:r>
        <w:rPr>
          <w:rFonts w:hint="eastAsia" w:cs="Times New Roman" w:eastAsiaTheme="minorEastAsia"/>
          <w:b/>
          <w:bCs/>
          <w:sz w:val="42"/>
          <w:szCs w:val="42"/>
          <w:lang w:val="en-US" w:eastAsia="zh-CN"/>
        </w:rPr>
        <w:t>关于申报</w:t>
      </w:r>
      <w:r>
        <w:rPr>
          <w:rFonts w:hint="eastAsia" w:cs="Times New Roman" w:eastAsiaTheme="minorEastAsia"/>
          <w:b/>
          <w:bCs/>
          <w:sz w:val="42"/>
          <w:szCs w:val="42"/>
        </w:rPr>
        <w:t>2</w:t>
      </w:r>
      <w:r>
        <w:rPr>
          <w:rFonts w:cs="Times New Roman" w:eastAsiaTheme="minorEastAsia"/>
          <w:b/>
          <w:bCs/>
          <w:sz w:val="42"/>
          <w:szCs w:val="42"/>
        </w:rPr>
        <w:t>02</w:t>
      </w:r>
      <w:r>
        <w:rPr>
          <w:rFonts w:hint="eastAsia" w:cs="Times New Roman" w:eastAsiaTheme="minorEastAsia"/>
          <w:b/>
          <w:bCs/>
          <w:sz w:val="42"/>
          <w:szCs w:val="42"/>
          <w:lang w:val="en-US" w:eastAsia="zh-CN"/>
        </w:rPr>
        <w:t>5</w:t>
      </w:r>
      <w:r>
        <w:rPr>
          <w:rFonts w:hint="eastAsia" w:cs="Times New Roman" w:eastAsiaTheme="minorEastAsia"/>
          <w:b/>
          <w:bCs/>
          <w:sz w:val="42"/>
          <w:szCs w:val="42"/>
        </w:rPr>
        <w:t>年度茅以升交通运输科学技术奖</w:t>
      </w:r>
      <w:r>
        <w:rPr>
          <w:rFonts w:hint="eastAsia" w:cs="Times New Roman" w:eastAsiaTheme="minorEastAsia"/>
          <w:b/>
          <w:bCs/>
          <w:sz w:val="42"/>
          <w:szCs w:val="42"/>
          <w:lang w:val="en-US" w:eastAsia="zh-CN"/>
        </w:rPr>
        <w:t>的</w:t>
      </w:r>
      <w:r>
        <w:rPr>
          <w:rFonts w:cs="Times New Roman" w:eastAsiaTheme="minorEastAsia"/>
          <w:b/>
          <w:bCs/>
          <w:sz w:val="42"/>
          <w:szCs w:val="42"/>
        </w:rPr>
        <w:t>公示</w:t>
      </w:r>
    </w:p>
    <w:p w14:paraId="6F5D7320">
      <w:pPr>
        <w:snapToGrid w:val="0"/>
        <w:spacing w:before="156" w:beforeLines="50" w:after="0" w:line="360" w:lineRule="auto"/>
        <w:ind w:firstLine="560" w:firstLineChars="200"/>
        <w:jc w:val="both"/>
        <w:rPr>
          <w:rFonts w:cs="Times New Roman" w:eastAsiaTheme="minorEastAsia"/>
          <w:bCs/>
          <w:sz w:val="28"/>
          <w:szCs w:val="28"/>
        </w:rPr>
      </w:pPr>
      <w:r>
        <w:rPr>
          <w:rFonts w:cs="Times New Roman" w:eastAsiaTheme="minorEastAsia"/>
          <w:bCs/>
          <w:sz w:val="28"/>
          <w:szCs w:val="28"/>
        </w:rPr>
        <w:t>根据《</w:t>
      </w:r>
      <w:r>
        <w:rPr>
          <w:rFonts w:hint="eastAsia" w:cs="Times New Roman" w:eastAsiaTheme="minorEastAsia"/>
          <w:bCs/>
          <w:sz w:val="28"/>
          <w:szCs w:val="28"/>
        </w:rPr>
        <w:t>关于推荐申报2025年度“茅以升交通运输科学技术奖”的通知</w:t>
      </w:r>
      <w:r>
        <w:rPr>
          <w:rFonts w:cs="Times New Roman" w:eastAsiaTheme="minorEastAsia"/>
          <w:bCs/>
          <w:sz w:val="28"/>
          <w:szCs w:val="28"/>
        </w:rPr>
        <w:t>》，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苏交科集团股份有限公司</w:t>
      </w:r>
      <w:r>
        <w:rPr>
          <w:rFonts w:cs="Times New Roman" w:eastAsiaTheme="minorEastAsia"/>
          <w:bCs/>
          <w:sz w:val="28"/>
          <w:szCs w:val="28"/>
        </w:rPr>
        <w:t>作为项目《</w:t>
      </w:r>
      <w:r>
        <w:rPr>
          <w:rFonts w:hint="eastAsia" w:cs="Times New Roman" w:eastAsiaTheme="minorEastAsia"/>
          <w:bCs/>
          <w:sz w:val="28"/>
          <w:szCs w:val="28"/>
        </w:rPr>
        <w:t>多接缝隧道受限空间智能监测机器人研发及应用</w:t>
      </w:r>
      <w:r>
        <w:rPr>
          <w:rFonts w:cs="Times New Roman" w:eastAsiaTheme="minorEastAsia"/>
          <w:bCs/>
          <w:sz w:val="28"/>
          <w:szCs w:val="28"/>
        </w:rPr>
        <w:t>》的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第一完成</w:t>
      </w:r>
      <w:r>
        <w:rPr>
          <w:rFonts w:hint="eastAsia" w:cs="Times New Roman" w:eastAsiaTheme="minorEastAsia"/>
          <w:bCs/>
          <w:sz w:val="28"/>
          <w:szCs w:val="28"/>
        </w:rPr>
        <w:t>单位</w:t>
      </w:r>
      <w:r>
        <w:rPr>
          <w:rFonts w:cs="Times New Roman" w:eastAsiaTheme="minorEastAsia"/>
          <w:bCs/>
          <w:sz w:val="28"/>
          <w:szCs w:val="28"/>
        </w:rPr>
        <w:t>，现对该项目进行公示。</w:t>
      </w:r>
    </w:p>
    <w:p w14:paraId="6F16735B">
      <w:pPr>
        <w:snapToGrid w:val="0"/>
        <w:spacing w:before="156" w:beforeLines="50" w:after="0" w:line="360" w:lineRule="auto"/>
        <w:ind w:firstLine="560" w:firstLineChars="200"/>
        <w:jc w:val="both"/>
        <w:rPr>
          <w:rFonts w:cs="Times New Roman" w:eastAsiaTheme="minorEastAsia"/>
          <w:bCs/>
          <w:sz w:val="28"/>
          <w:szCs w:val="28"/>
        </w:rPr>
      </w:pPr>
      <w:r>
        <w:rPr>
          <w:rFonts w:cs="Times New Roman" w:eastAsiaTheme="minorEastAsia"/>
          <w:bCs/>
          <w:sz w:val="28"/>
          <w:szCs w:val="28"/>
        </w:rPr>
        <w:t>任何单位或个人对公示项目持有异议的，可以书面形式向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苏交科集团股份有限公司</w:t>
      </w:r>
      <w:r>
        <w:rPr>
          <w:rFonts w:cs="Times New Roman" w:eastAsiaTheme="minorEastAsia"/>
          <w:bCs/>
          <w:sz w:val="28"/>
          <w:szCs w:val="28"/>
        </w:rPr>
        <w:t>作提出，并提供必要的证明材料，为便于核实查证，确保实事求是、客观公正地处理异议。提出异议的单位或者个人应当表明真实身份，并提供联系方式。凡匿名异议和超出期限的异议，不予受理。</w:t>
      </w:r>
    </w:p>
    <w:p w14:paraId="4B545714">
      <w:pPr>
        <w:snapToGrid w:val="0"/>
        <w:spacing w:before="156" w:beforeLines="50" w:after="0" w:line="360" w:lineRule="auto"/>
        <w:ind w:firstLine="560" w:firstLineChars="200"/>
        <w:rPr>
          <w:rFonts w:cs="Times New Roman" w:eastAsiaTheme="minorEastAsia"/>
          <w:bCs/>
          <w:sz w:val="28"/>
          <w:szCs w:val="28"/>
        </w:rPr>
      </w:pPr>
      <w:r>
        <w:rPr>
          <w:rFonts w:cs="Times New Roman" w:eastAsiaTheme="minorEastAsia"/>
          <w:bCs/>
          <w:sz w:val="28"/>
          <w:szCs w:val="28"/>
        </w:rPr>
        <w:t>公示时间：202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6</w:t>
      </w:r>
      <w:r>
        <w:rPr>
          <w:rFonts w:cs="Times New Roman" w:eastAsiaTheme="minorEastAsia"/>
          <w:bCs/>
          <w:sz w:val="28"/>
          <w:szCs w:val="28"/>
        </w:rPr>
        <w:t>年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3</w:t>
      </w:r>
      <w:r>
        <w:rPr>
          <w:rFonts w:cs="Times New Roman" w:eastAsiaTheme="minorEastAsia"/>
          <w:bCs/>
          <w:sz w:val="28"/>
          <w:szCs w:val="28"/>
        </w:rPr>
        <w:t>月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26</w:t>
      </w:r>
      <w:r>
        <w:rPr>
          <w:rFonts w:cs="Times New Roman" w:eastAsiaTheme="minorEastAsia"/>
          <w:bCs/>
          <w:sz w:val="28"/>
          <w:szCs w:val="28"/>
        </w:rPr>
        <w:t>日-202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6</w:t>
      </w:r>
      <w:r>
        <w:rPr>
          <w:rFonts w:cs="Times New Roman" w:eastAsiaTheme="minorEastAsia"/>
          <w:bCs/>
          <w:sz w:val="28"/>
          <w:szCs w:val="28"/>
        </w:rPr>
        <w:t>年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4</w:t>
      </w:r>
      <w:r>
        <w:rPr>
          <w:rFonts w:cs="Times New Roman" w:eastAsiaTheme="minorEastAsia"/>
          <w:bCs/>
          <w:sz w:val="28"/>
          <w:szCs w:val="28"/>
        </w:rPr>
        <w:t>月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2</w:t>
      </w:r>
      <w:r>
        <w:rPr>
          <w:rFonts w:cs="Times New Roman" w:eastAsiaTheme="minorEastAsia"/>
          <w:bCs/>
          <w:sz w:val="28"/>
          <w:szCs w:val="28"/>
        </w:rPr>
        <w:t>日</w:t>
      </w:r>
    </w:p>
    <w:p w14:paraId="7D9D7F31">
      <w:pPr>
        <w:snapToGrid w:val="0"/>
        <w:spacing w:before="156" w:beforeLines="50" w:after="0" w:line="360" w:lineRule="auto"/>
        <w:ind w:firstLine="560" w:firstLineChars="200"/>
        <w:rPr>
          <w:rFonts w:cs="Times New Roman" w:eastAsiaTheme="minorEastAsia"/>
          <w:bCs/>
          <w:sz w:val="28"/>
          <w:szCs w:val="28"/>
        </w:rPr>
      </w:pPr>
      <w:r>
        <w:rPr>
          <w:rFonts w:cs="Times New Roman" w:eastAsiaTheme="minorEastAsia"/>
          <w:bCs/>
          <w:sz w:val="28"/>
          <w:szCs w:val="28"/>
        </w:rPr>
        <w:t>受理单位：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苏交科集团股份有限公司</w:t>
      </w:r>
    </w:p>
    <w:p w14:paraId="5241BB24">
      <w:pPr>
        <w:snapToGrid w:val="0"/>
        <w:spacing w:before="156" w:beforeLines="50" w:after="0" w:line="360" w:lineRule="auto"/>
        <w:ind w:firstLine="560" w:firstLineChars="200"/>
        <w:jc w:val="both"/>
        <w:rPr>
          <w:rFonts w:cs="Times New Roman" w:eastAsiaTheme="minorEastAsia"/>
          <w:bCs/>
          <w:sz w:val="28"/>
          <w:szCs w:val="28"/>
        </w:rPr>
      </w:pPr>
      <w:r>
        <w:rPr>
          <w:rFonts w:cs="Times New Roman" w:eastAsiaTheme="minorEastAsia"/>
          <w:bCs/>
          <w:sz w:val="28"/>
          <w:szCs w:val="28"/>
        </w:rPr>
        <w:t>联系人：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邹鸿浩</w:t>
      </w:r>
      <w:r>
        <w:rPr>
          <w:rFonts w:hint="eastAsia" w:cs="Times New Roman" w:eastAsiaTheme="minorEastAsia"/>
          <w:bCs/>
          <w:sz w:val="28"/>
          <w:szCs w:val="28"/>
        </w:rPr>
        <w:t>，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18813125854</w:t>
      </w:r>
    </w:p>
    <w:p w14:paraId="2B5AB5E1">
      <w:pPr>
        <w:snapToGrid w:val="0"/>
        <w:spacing w:before="156" w:beforeLines="50" w:after="0" w:line="360" w:lineRule="auto"/>
        <w:ind w:firstLine="560" w:firstLineChars="200"/>
        <w:rPr>
          <w:rFonts w:cs="Times New Roman" w:eastAsiaTheme="minorEastAsia"/>
          <w:bCs/>
          <w:sz w:val="28"/>
          <w:szCs w:val="28"/>
        </w:rPr>
      </w:pPr>
      <w:r>
        <w:rPr>
          <w:rFonts w:cs="Times New Roman" w:eastAsiaTheme="minorEastAsia"/>
          <w:bCs/>
          <w:sz w:val="28"/>
          <w:szCs w:val="28"/>
        </w:rPr>
        <w:t>通讯地址：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江苏省南京市建邺区富春江东街8号苏交科</w:t>
      </w:r>
    </w:p>
    <w:p w14:paraId="52004C22">
      <w:pPr>
        <w:snapToGrid w:val="0"/>
        <w:spacing w:after="0" w:line="360" w:lineRule="auto"/>
        <w:rPr>
          <w:rFonts w:cs="Times New Roman" w:eastAsiaTheme="minorEastAsia"/>
          <w:bCs/>
          <w:sz w:val="28"/>
          <w:szCs w:val="28"/>
        </w:rPr>
      </w:pPr>
    </w:p>
    <w:p w14:paraId="7075948F">
      <w:pPr>
        <w:wordWrap w:val="0"/>
        <w:snapToGrid w:val="0"/>
        <w:spacing w:after="0" w:line="360" w:lineRule="auto"/>
        <w:jc w:val="right"/>
        <w:rPr>
          <w:rFonts w:hint="default" w:cs="Times New Roman" w:eastAsiaTheme="minorEastAsia"/>
          <w:bCs/>
          <w:sz w:val="28"/>
          <w:szCs w:val="28"/>
          <w:highlight w:val="yellow"/>
          <w:lang w:val="en-US"/>
        </w:rPr>
      </w:pP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苏交科集团股份有限公司</w:t>
      </w:r>
    </w:p>
    <w:p w14:paraId="69D1147A">
      <w:pPr>
        <w:wordWrap w:val="0"/>
        <w:snapToGrid w:val="0"/>
        <w:spacing w:after="0" w:line="360" w:lineRule="auto"/>
        <w:jc w:val="right"/>
        <w:rPr>
          <w:rFonts w:hint="default" w:cs="Times New Roman" w:eastAsiaTheme="minorEastAsia"/>
          <w:bCs/>
          <w:sz w:val="28"/>
          <w:szCs w:val="28"/>
          <w:lang w:val="en-US" w:eastAsia="zh-CN"/>
        </w:rPr>
      </w:pPr>
      <w:r>
        <w:rPr>
          <w:rFonts w:cs="Times New Roman" w:eastAsiaTheme="minorEastAsia"/>
          <w:bCs/>
          <w:sz w:val="28"/>
          <w:szCs w:val="28"/>
        </w:rPr>
        <w:t>202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6</w:t>
      </w:r>
      <w:r>
        <w:rPr>
          <w:rFonts w:cs="Times New Roman" w:eastAsiaTheme="minorEastAsia"/>
          <w:bCs/>
          <w:sz w:val="28"/>
          <w:szCs w:val="28"/>
        </w:rPr>
        <w:t>年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3</w:t>
      </w:r>
      <w:r>
        <w:rPr>
          <w:rFonts w:cs="Times New Roman" w:eastAsiaTheme="minorEastAsia"/>
          <w:bCs/>
          <w:sz w:val="28"/>
          <w:szCs w:val="28"/>
        </w:rPr>
        <w:t>月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>26</w:t>
      </w:r>
      <w:r>
        <w:rPr>
          <w:rFonts w:cs="Times New Roman" w:eastAsiaTheme="minorEastAsia"/>
          <w:bCs/>
          <w:sz w:val="28"/>
          <w:szCs w:val="28"/>
        </w:rPr>
        <w:t>日</w:t>
      </w:r>
      <w:r>
        <w:rPr>
          <w:rFonts w:hint="eastAsia" w:cs="Times New Roman" w:eastAsiaTheme="minorEastAsia"/>
          <w:bCs/>
          <w:sz w:val="28"/>
          <w:szCs w:val="28"/>
          <w:lang w:val="en-US" w:eastAsia="zh-CN"/>
        </w:rPr>
        <w:t xml:space="preserve">   </w:t>
      </w:r>
    </w:p>
    <w:p w14:paraId="27476CD0">
      <w:pPr>
        <w:snapToGrid w:val="0"/>
        <w:spacing w:after="0" w:line="360" w:lineRule="auto"/>
        <w:jc w:val="right"/>
        <w:rPr>
          <w:rFonts w:cs="Times New Roman" w:eastAsiaTheme="minorEastAsia"/>
          <w:b/>
          <w:bCs/>
          <w:szCs w:val="28"/>
        </w:rPr>
      </w:pPr>
    </w:p>
    <w:p w14:paraId="150B8721">
      <w:pPr>
        <w:spacing w:after="0" w:line="240" w:lineRule="auto"/>
        <w:rPr>
          <w:rFonts w:cs="Times New Roman" w:eastAsiaTheme="minorEastAsia"/>
          <w:b/>
          <w:bCs/>
          <w:szCs w:val="28"/>
        </w:rPr>
      </w:pPr>
      <w:r>
        <w:rPr>
          <w:rFonts w:cs="Times New Roman" w:eastAsiaTheme="minorEastAsia"/>
          <w:b/>
          <w:bCs/>
          <w:szCs w:val="28"/>
        </w:rPr>
        <w:br w:type="page"/>
      </w:r>
    </w:p>
    <w:p w14:paraId="5F9954D9">
      <w:pPr>
        <w:snapToGrid w:val="0"/>
        <w:spacing w:after="0" w:line="360" w:lineRule="auto"/>
        <w:jc w:val="right"/>
        <w:rPr>
          <w:rFonts w:cs="Times New Roman" w:eastAsiaTheme="minorEastAsia"/>
          <w:b/>
          <w:bCs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60D46D">
      <w:pPr>
        <w:spacing w:after="0" w:line="240" w:lineRule="auto"/>
        <w:rPr>
          <w:rFonts w:cs="Times New Roman" w:eastAsiaTheme="minorEastAsia"/>
          <w:bCs/>
          <w:sz w:val="28"/>
          <w:szCs w:val="28"/>
        </w:rPr>
      </w:pPr>
    </w:p>
    <w:p w14:paraId="173B83C6">
      <w:pPr>
        <w:adjustRightInd w:val="0"/>
        <w:snapToGrid w:val="0"/>
        <w:spacing w:after="0" w:line="360" w:lineRule="auto"/>
        <w:ind w:firstLine="560" w:firstLineChars="200"/>
        <w:jc w:val="center"/>
        <w:rPr>
          <w:rFonts w:eastAsia="仿宋" w:cs="Times New Roman"/>
          <w:bCs/>
          <w:sz w:val="28"/>
          <w:szCs w:val="28"/>
        </w:rPr>
      </w:pPr>
      <w:r>
        <w:rPr>
          <w:rFonts w:hint="eastAsia" w:eastAsia="仿宋" w:cs="Times New Roman"/>
          <w:bCs/>
          <w:sz w:val="28"/>
          <w:szCs w:val="28"/>
        </w:rPr>
        <w:t>2025年度茅以升交通运输科学技术奖的公示内容</w:t>
      </w:r>
    </w:p>
    <w:p w14:paraId="613B0517">
      <w:pPr>
        <w:pStyle w:val="10"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eastAsia="仿宋" w:cs="Times New Roman" w:asciiTheme="minorEastAsia" w:hAnsiTheme="minorEastAsia"/>
          <w:bCs/>
          <w:sz w:val="24"/>
          <w:szCs w:val="24"/>
        </w:rPr>
      </w:pPr>
      <w:r>
        <w:rPr>
          <w:rFonts w:hint="eastAsia" w:eastAsia="仿宋" w:cs="Times New Roman" w:asciiTheme="minorEastAsia" w:hAnsiTheme="minorEastAsia"/>
          <w:bCs/>
          <w:sz w:val="24"/>
          <w:szCs w:val="24"/>
        </w:rPr>
        <w:t>项目名称：多接缝隧道受限空间智能监测机器人研发及应用</w:t>
      </w:r>
    </w:p>
    <w:p w14:paraId="028BDF1B">
      <w:pPr>
        <w:pStyle w:val="10"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eastAsia="仿宋" w:cs="Times New Roman" w:asciiTheme="minorEastAsia" w:hAnsiTheme="minorEastAsia"/>
          <w:bCs/>
          <w:sz w:val="24"/>
          <w:szCs w:val="24"/>
        </w:rPr>
      </w:pPr>
      <w:r>
        <w:rPr>
          <w:rFonts w:hint="eastAsia" w:eastAsia="仿宋" w:cs="Times New Roman" w:asciiTheme="minorEastAsia" w:hAnsiTheme="minorEastAsia"/>
          <w:bCs/>
          <w:sz w:val="24"/>
          <w:szCs w:val="24"/>
        </w:rPr>
        <w:t>主要知识产权与标准规范等目录：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274"/>
        <w:gridCol w:w="1082"/>
        <w:gridCol w:w="833"/>
        <w:gridCol w:w="2043"/>
        <w:gridCol w:w="3057"/>
        <w:gridCol w:w="3972"/>
        <w:gridCol w:w="772"/>
      </w:tblGrid>
      <w:tr w14:paraId="1720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vAlign w:val="center"/>
          </w:tcPr>
          <w:p w14:paraId="7C639E3E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知识产权/标准类别</w:t>
            </w:r>
          </w:p>
        </w:tc>
        <w:tc>
          <w:tcPr>
            <w:tcW w:w="2274" w:type="dxa"/>
            <w:vAlign w:val="center"/>
          </w:tcPr>
          <w:p w14:paraId="4F633253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082" w:type="dxa"/>
            <w:vAlign w:val="center"/>
          </w:tcPr>
          <w:p w14:paraId="4BBDD18F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证书号</w:t>
            </w:r>
          </w:p>
        </w:tc>
        <w:tc>
          <w:tcPr>
            <w:tcW w:w="833" w:type="dxa"/>
            <w:vAlign w:val="center"/>
          </w:tcPr>
          <w:p w14:paraId="3ED3A1D9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授权日期</w:t>
            </w:r>
          </w:p>
        </w:tc>
        <w:tc>
          <w:tcPr>
            <w:tcW w:w="2043" w:type="dxa"/>
            <w:vAlign w:val="center"/>
          </w:tcPr>
          <w:p w14:paraId="221B6CBA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发布单位</w:t>
            </w:r>
          </w:p>
        </w:tc>
        <w:tc>
          <w:tcPr>
            <w:tcW w:w="3057" w:type="dxa"/>
            <w:vAlign w:val="center"/>
          </w:tcPr>
          <w:p w14:paraId="2939E08F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权利人</w:t>
            </w:r>
          </w:p>
        </w:tc>
        <w:tc>
          <w:tcPr>
            <w:tcW w:w="3972" w:type="dxa"/>
            <w:vAlign w:val="center"/>
          </w:tcPr>
          <w:p w14:paraId="7F68F118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发明人</w:t>
            </w:r>
          </w:p>
        </w:tc>
        <w:tc>
          <w:tcPr>
            <w:tcW w:w="772" w:type="dxa"/>
            <w:vAlign w:val="center"/>
          </w:tcPr>
          <w:p w14:paraId="5B205804">
            <w:pPr>
              <w:spacing w:after="0" w:line="40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状态</w:t>
            </w:r>
          </w:p>
        </w:tc>
      </w:tr>
      <w:tr w14:paraId="12D0E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47F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标准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260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水下隧道结构健康监测技术规程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848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DB32/T4243-2022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6A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2022.3.23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F07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江苏省住房和城乡建设厅、江苏省市场监督管理局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436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苏交科集团股份有限公司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sz w:val="24"/>
              </w:rPr>
              <w:t>南京大学南方科技大学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sz w:val="24"/>
              </w:rPr>
              <w:t>南京交通运营管理集团有限公司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sz w:val="24"/>
              </w:rPr>
              <w:t>南京市公共工程建设中心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仿宋"/>
                <w:sz w:val="24"/>
              </w:rPr>
              <w:t>扬州市隧道管理处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AC0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黄俊,张巍,张忠字,陈喜坤,邵理阳,丁鸿志,鄂俊宇,闫立胜,房倩,黄大维,牛晓凯,李建春,董飞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5A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已发布</w:t>
            </w:r>
          </w:p>
        </w:tc>
      </w:tr>
      <w:tr w14:paraId="0E07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3C0E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标准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6EFA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隧道内轨道式机器人病害监测技术规程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D9FA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T/JSUSS03-2024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291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2024.9.30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E9F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江苏省地下空间学会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29B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苏交科集团股份有限公司、江苏集萃智能制造技术研究所有限公司、常州湖南大学机械装备研究院、上海工程技术大学、苏州融萃特种机器人有限公司、南京大学、河海大学、南京市公共工程建设中心、南京地铁运营有限责任公司、苏州市轨道交通集团有限公司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1BF1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黄俊，赵光，骆敏舟，卿宏军，梅涛，郭志明，张霆，王占生，游楠，张巍，邹鸿浩，董飞，张忠宇，陈赛旋，乔小雷，游欣雨，谭治英，周爱众，李剑锋，吕自贵，王永，李奥，陈宁威，丁鸿志，王跃锋，李荣，徐朋，冯宏伟，陈卫忠，朱利荣，刘学增，孙德文，钱镇华，李然，李海波，周军，李伟，谭旭燕，师刚，梅联平，黄杰，陶然。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85E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已发布</w:t>
            </w:r>
          </w:p>
        </w:tc>
      </w:tr>
      <w:tr w14:paraId="6D1E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45B9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D8AC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一种装配式隧道接缝错台量测量方法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2AABC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202210475472.7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E6D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2022.4.29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B77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FA5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苏交科集团股份有限公司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3227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陈喜坤，黄俊，敖辉，张忠宇，赵光，高才驰，周新华，杨奎董飞，李奥，黄杰，董盛时，邹鸿浩，陈飞，徐浩，谈力昕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882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1FF9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76D8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306B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一种基于点线特征的2D激光雷达相机多帧单步标定方法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F99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202010813058.3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A0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2020.8.13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00D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3E9F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河海大学常州校区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F94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徐孝彬，张磊，何佳，朱开源，谭治英，骆敏舟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21A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01BE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2C8C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BD3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一种基于相机和激光雷达信息融合的语义分割方法及系统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EB9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202110453156.5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98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2021.4.26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92A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15CC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河海大学常州校区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3008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徐孝彬，张磊，何佳，冉莹莹，曹晨飞，熊轶旸，谭治英骆敏舟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F7A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5C83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7C8F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10CB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一种盾构隧道管片接缝变形量的测量装置及测量方法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AE8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202111256547.4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734F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2021.10.27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3C8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34E7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南京地铁运营有限责任公司;苏交科集团股份有限公司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76E2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乔小雷，黄俊，董飞，高才驰，陈宁威，李奥，赵光，李伟卢志飞，邹鸿浩，陈喜坤，邢冬冬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B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7906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291BA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25E6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用于隧道内巡检的轨道机器人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72D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202210508116.0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47D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2022.5.10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20D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6F31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上海工程技术大学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5604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陈赛旋，姚柏强，崔国华，张振山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828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4F9F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EA5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4E8B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用于在网页端展示线性工程BIM模型的方法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4F8A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201911295836.8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5B0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EB6A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F81D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苏交科集团股份有限公司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13E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黄俊，梁顺，杨奎，张忠宇，赵光，董飞，李志远，敖辉邢冬冬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4C2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59DE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7FA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0E30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种针对立体物体的图像清晰度评价方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327C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201911212471.8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0EF8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2019.12.02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2A2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659F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河海大学常州校区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2D8E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谭治英，赵宝来，费仲文，徐孝彬，赵鸣晖，沙刘力，袁文强: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31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  <w:tr w14:paraId="288A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5F9D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发明专利</w:t>
            </w:r>
          </w:p>
        </w:tc>
        <w:tc>
          <w:tcPr>
            <w:tcW w:w="2274" w:type="dxa"/>
            <w:shd w:val="clear" w:color="auto" w:fill="auto"/>
            <w:vAlign w:val="center"/>
          </w:tcPr>
          <w:p w14:paraId="7AC8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一种基于轮履腿式底盘的越障机器人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809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ZL</w:t>
            </w:r>
            <w:r>
              <w:rPr>
                <w:rFonts w:ascii="Times New Roman" w:hAnsi="Times New Roman" w:eastAsia="仿宋"/>
                <w:sz w:val="24"/>
                <w:szCs w:val="24"/>
                <w:lang w:val="en-GB"/>
              </w:rPr>
              <w:t>202010588573.6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B67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2020.6.24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1D1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国家知识产权局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FE0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河海大学常州校区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1015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徐孝彬，宿广煜，柏永华，潘志杰，李渊炜，骆敏舟，谭治英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769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</w:pPr>
          </w:p>
        </w:tc>
      </w:tr>
    </w:tbl>
    <w:p w14:paraId="4AFAB360">
      <w:pPr>
        <w:pStyle w:val="10"/>
        <w:numPr>
          <w:ilvl w:val="0"/>
          <w:numId w:val="1"/>
        </w:numPr>
        <w:snapToGrid w:val="0"/>
        <w:spacing w:before="217" w:beforeLines="50" w:after="0" w:line="360" w:lineRule="auto"/>
        <w:ind w:firstLineChars="0"/>
        <w:rPr>
          <w:rFonts w:eastAsia="仿宋" w:cs="Times New Roman" w:asciiTheme="minorEastAsia" w:hAnsiTheme="minorEastAsia"/>
          <w:bCs/>
          <w:sz w:val="24"/>
          <w:szCs w:val="24"/>
        </w:rPr>
      </w:pPr>
      <w:r>
        <w:rPr>
          <w:rFonts w:hint="eastAsia" w:eastAsia="仿宋" w:cs="Times New Roman" w:asciiTheme="minorEastAsia" w:hAnsiTheme="minorEastAsia"/>
          <w:bCs/>
          <w:sz w:val="24"/>
          <w:szCs w:val="24"/>
        </w:rPr>
        <w:t>主要完成人：黄俊、杨树荣、赵光、骆敏舟、盛文武、卿宏军、张巍、谭治英、朱银虎、陈赛旋、骆龙炳、谭旭燕、魏祎、郑彬、毛荣骏</w:t>
      </w:r>
    </w:p>
    <w:p w14:paraId="2AF4C11B">
      <w:pPr>
        <w:pStyle w:val="10"/>
        <w:numPr>
          <w:ilvl w:val="0"/>
          <w:numId w:val="1"/>
        </w:numPr>
        <w:snapToGrid w:val="0"/>
        <w:spacing w:before="217" w:beforeLines="50" w:after="0" w:line="360" w:lineRule="auto"/>
        <w:ind w:firstLineChars="0"/>
        <w:rPr>
          <w:rFonts w:eastAsia="仿宋" w:cs="Times New Roman" w:asciiTheme="minorEastAsia" w:hAnsiTheme="minorEastAsia"/>
          <w:bCs/>
          <w:sz w:val="24"/>
          <w:szCs w:val="24"/>
        </w:rPr>
      </w:pPr>
      <w:r>
        <w:rPr>
          <w:rFonts w:hint="eastAsia" w:eastAsia="仿宋" w:cs="Times New Roman" w:asciiTheme="minorEastAsia" w:hAnsiTheme="minorEastAsia"/>
          <w:bCs/>
          <w:sz w:val="24"/>
          <w:szCs w:val="24"/>
        </w:rPr>
        <w:t>主要完成单位：苏交科集团股份有限公司、南京市公共工程建设中心、合肥科大智能机器人技术有限公司、河海大学、江苏集萃智能制造技术研究所有限公司、上海工程技术大学、南京大学、常州湖南大学机械装备研究院、中国科学院武汉岩土力学研究所、江西理工大学</w:t>
      </w:r>
    </w:p>
    <w:sectPr>
      <w:footerReference r:id="rId5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AB984">
    <w:pPr>
      <w:pStyle w:val="3"/>
      <w:rPr>
        <w:rFonts w:cs="Times New Roman" w:eastAsiaTheme="minorEastAsi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C2ABB"/>
    <w:multiLevelType w:val="multilevel"/>
    <w:tmpl w:val="701C2ABB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0C"/>
    <w:rsid w:val="00046A01"/>
    <w:rsid w:val="00046B3D"/>
    <w:rsid w:val="0005146D"/>
    <w:rsid w:val="00054543"/>
    <w:rsid w:val="00096B59"/>
    <w:rsid w:val="000C3304"/>
    <w:rsid w:val="000D138A"/>
    <w:rsid w:val="001017A2"/>
    <w:rsid w:val="00101B37"/>
    <w:rsid w:val="001146B3"/>
    <w:rsid w:val="001164A2"/>
    <w:rsid w:val="00147634"/>
    <w:rsid w:val="001D406C"/>
    <w:rsid w:val="001D4DDC"/>
    <w:rsid w:val="001E4F85"/>
    <w:rsid w:val="001E6F66"/>
    <w:rsid w:val="00236E5A"/>
    <w:rsid w:val="002504E0"/>
    <w:rsid w:val="00256B9C"/>
    <w:rsid w:val="00274C82"/>
    <w:rsid w:val="00284861"/>
    <w:rsid w:val="00296F6C"/>
    <w:rsid w:val="002F6A9F"/>
    <w:rsid w:val="002F6C0C"/>
    <w:rsid w:val="00302912"/>
    <w:rsid w:val="00341DA0"/>
    <w:rsid w:val="00393378"/>
    <w:rsid w:val="003E27EE"/>
    <w:rsid w:val="003F6B52"/>
    <w:rsid w:val="004347EA"/>
    <w:rsid w:val="00464C6D"/>
    <w:rsid w:val="004C2459"/>
    <w:rsid w:val="004D272F"/>
    <w:rsid w:val="00534D5C"/>
    <w:rsid w:val="005E3249"/>
    <w:rsid w:val="00627CDA"/>
    <w:rsid w:val="006742DE"/>
    <w:rsid w:val="0068498A"/>
    <w:rsid w:val="00684B83"/>
    <w:rsid w:val="0070682E"/>
    <w:rsid w:val="0073168E"/>
    <w:rsid w:val="007513A3"/>
    <w:rsid w:val="00790080"/>
    <w:rsid w:val="007A3799"/>
    <w:rsid w:val="007B0EC4"/>
    <w:rsid w:val="00822BBE"/>
    <w:rsid w:val="0084728C"/>
    <w:rsid w:val="00872CC5"/>
    <w:rsid w:val="008951EC"/>
    <w:rsid w:val="008955AE"/>
    <w:rsid w:val="008B3497"/>
    <w:rsid w:val="00913719"/>
    <w:rsid w:val="00913FBD"/>
    <w:rsid w:val="00920141"/>
    <w:rsid w:val="00922FA4"/>
    <w:rsid w:val="00951F29"/>
    <w:rsid w:val="009918C7"/>
    <w:rsid w:val="009A17DC"/>
    <w:rsid w:val="009D3EE3"/>
    <w:rsid w:val="009D68F2"/>
    <w:rsid w:val="009F5A53"/>
    <w:rsid w:val="009F7330"/>
    <w:rsid w:val="00A11B70"/>
    <w:rsid w:val="00A56124"/>
    <w:rsid w:val="00A86F83"/>
    <w:rsid w:val="00AD3224"/>
    <w:rsid w:val="00AD41A9"/>
    <w:rsid w:val="00B0356C"/>
    <w:rsid w:val="00B12767"/>
    <w:rsid w:val="00B651A4"/>
    <w:rsid w:val="00B654F6"/>
    <w:rsid w:val="00B8626F"/>
    <w:rsid w:val="00B878DB"/>
    <w:rsid w:val="00BC7986"/>
    <w:rsid w:val="00BF4665"/>
    <w:rsid w:val="00C23842"/>
    <w:rsid w:val="00C332E5"/>
    <w:rsid w:val="00C34456"/>
    <w:rsid w:val="00C40A86"/>
    <w:rsid w:val="00C53B0C"/>
    <w:rsid w:val="00C852D3"/>
    <w:rsid w:val="00C979B0"/>
    <w:rsid w:val="00CC4D02"/>
    <w:rsid w:val="00CD4347"/>
    <w:rsid w:val="00D055C2"/>
    <w:rsid w:val="00D2146E"/>
    <w:rsid w:val="00D358CC"/>
    <w:rsid w:val="00D446EF"/>
    <w:rsid w:val="00DA2575"/>
    <w:rsid w:val="00E3458E"/>
    <w:rsid w:val="00E84917"/>
    <w:rsid w:val="00E87248"/>
    <w:rsid w:val="00EA4A1A"/>
    <w:rsid w:val="00EC5D08"/>
    <w:rsid w:val="00EC5E2F"/>
    <w:rsid w:val="00F53730"/>
    <w:rsid w:val="00FB6CF3"/>
    <w:rsid w:val="00FE7644"/>
    <w:rsid w:val="031E62CB"/>
    <w:rsid w:val="043C16E8"/>
    <w:rsid w:val="08C33502"/>
    <w:rsid w:val="10363F05"/>
    <w:rsid w:val="19F4573C"/>
    <w:rsid w:val="31AE37B4"/>
    <w:rsid w:val="32C720C2"/>
    <w:rsid w:val="40036D3B"/>
    <w:rsid w:val="50F11F2F"/>
    <w:rsid w:val="59285535"/>
    <w:rsid w:val="6D6E300C"/>
    <w:rsid w:val="7D9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1614</Words>
  <Characters>1857</Characters>
  <Lines>11</Lines>
  <Paragraphs>3</Paragraphs>
  <TotalTime>0</TotalTime>
  <ScaleCrop>false</ScaleCrop>
  <LinksUpToDate>false</LinksUpToDate>
  <CharactersWithSpaces>1860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2024-01-08T06:34:00Z</dcterms:created>
  <dc:creator>刘畅</dc:creator>
  <cp:lastModifiedBy>Maxwell</cp:lastModifiedBy>
  <cp:lastPrinted>2024-01-08T07:18:00Z</cp:lastPrinted>
  <dcterms:modified xsi:type="dcterms:W3CDTF">2026-03-30T11:02:22Z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eyJoZGlkIjoiMmYyNmQ5ZmZmYTgwMGUxOTQ5MjNmZTBkN2ZiZmZmN2UiLCJ1c2VySWQiOiI4ODA2MzcyMjEifQ==</vt:lpwstr>
  </property>
  <property fmtid="{D5CDD505-2E9C-101B-9397-08002B2CF9AE}" pid="3" name="KSOProductBuildVer">
    <vt:lpwstr>2052-12.1.0.25835</vt:lpwstr>
  </property>
  <property fmtid="{D5CDD505-2E9C-101B-9397-08002B2CF9AE}" pid="4" name="ICV">
    <vt:lpwstr>2540BA862D9542AC8FDFE2617E51C519_12</vt:lpwstr>
  </property>
</Properties>
</file>